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519E0659" w:rsidR="0048658D" w:rsidRDefault="00B24A59" w:rsidP="00B24A59">
          <w:pPr>
            <w:pStyle w:val="Heading1"/>
          </w:pPr>
          <w:r>
            <w:rPr>
              <w:rFonts w:cs="Arial"/>
              <w:szCs w:val="26"/>
            </w:rPr>
            <w:t>Q</w:t>
          </w:r>
          <w:r w:rsidR="0048658D">
            <w:t>uestionnaire</w:t>
          </w:r>
          <w:r w:rsidR="00A23FD3">
            <w:t xml:space="preserve">: </w:t>
          </w:r>
          <w:r w:rsidR="0087050D">
            <w:t xml:space="preserve">KKR – HMC </w:t>
          </w:r>
          <w:r w:rsidR="00854B8B">
            <w:t>Energy Transition Platform</w:t>
          </w:r>
          <w:r w:rsidR="00A23FD3">
            <w:t xml:space="preserve"> </w:t>
          </w:r>
        </w:p>
        <w:p w14:paraId="3B287C00" w14:textId="6C232925" w:rsidR="00A23FD3" w:rsidRDefault="00854B8B" w:rsidP="00A23FD3">
          <w:pPr>
            <w:pStyle w:val="Titlepagefilenumber"/>
            <w:jc w:val="left"/>
          </w:pPr>
          <w:r>
            <w:t>MN-90007</w:t>
          </w:r>
        </w:p>
        <w:p w14:paraId="51182443" w14:textId="2BAC14E0" w:rsidR="00AC62DE" w:rsidRPr="00A23FD3" w:rsidRDefault="0048658D" w:rsidP="00A23FD3">
          <w:pPr>
            <w:pStyle w:val="Heading2"/>
            <w:spacing w:before="240" w:after="240"/>
            <w:rPr>
              <w:highlight w:val="yellow"/>
            </w:rPr>
          </w:pPr>
          <w:r w:rsidRPr="00945188">
            <w:t>Deadline to respond:</w:t>
          </w:r>
          <w:r w:rsidR="00A23FD3" w:rsidRPr="00945188">
            <w:t xml:space="preserve"> </w:t>
          </w:r>
          <w:r w:rsidR="00F17698">
            <w:t>22 May 2026</w:t>
          </w:r>
        </w:p>
        <w:p w14:paraId="74832F25" w14:textId="7FF69623" w:rsidR="003545C1" w:rsidRDefault="003545C1">
          <w:pPr>
            <w:rPr>
              <w:kern w:val="2"/>
              <w:lang w:eastAsia="en-AU"/>
              <w14:ligatures w14:val="standardContextual"/>
            </w:rPr>
          </w:pPr>
          <w:r>
            <w:t>The Australian Competition and Consumer Commission (</w:t>
          </w:r>
          <w:r>
            <w:rPr>
              <w:b/>
              <w:bCs/>
            </w:rPr>
            <w:t>ACCC</w:t>
          </w:r>
          <w:r w:rsidRPr="004D127A">
            <w:t>)</w:t>
          </w:r>
          <w:r>
            <w:t xml:space="preserve"> is currently assessing the Volt Managed Investment Trusts’ (</w:t>
          </w:r>
          <w:r w:rsidRPr="003545C1">
            <w:rPr>
              <w:b/>
              <w:bCs/>
            </w:rPr>
            <w:t>Volt MITs</w:t>
          </w:r>
          <w:r>
            <w:t>) proposed A$355 million investment in HMC Capital Limited's Energy Transition Platform (</w:t>
          </w:r>
          <w:r>
            <w:rPr>
              <w:b/>
              <w:bCs/>
            </w:rPr>
            <w:t>HMC Platform</w:t>
          </w:r>
          <w:r>
            <w:t xml:space="preserve">), through the acquisition of loan notes and share warrants issued by Volt </w:t>
          </w:r>
          <w:proofErr w:type="spellStart"/>
          <w:r>
            <w:t>HoldCo</w:t>
          </w:r>
          <w:proofErr w:type="spellEnd"/>
          <w:r>
            <w:t xml:space="preserve"> Pty Ltd (the </w:t>
          </w:r>
          <w:r>
            <w:rPr>
              <w:b/>
              <w:bCs/>
            </w:rPr>
            <w:t>Acquisition</w:t>
          </w:r>
          <w:r>
            <w:t xml:space="preserve">). </w:t>
          </w:r>
          <w:r w:rsidRPr="003545C1">
            <w:t>The Volt MITs are ultimately wholly owned by investment funds</w:t>
          </w:r>
          <w:r>
            <w:t xml:space="preserve"> that are </w:t>
          </w:r>
          <w:r w:rsidRPr="003545C1">
            <w:t xml:space="preserve">advised and managed by </w:t>
          </w:r>
          <w:r>
            <w:t>KKR.</w:t>
          </w:r>
        </w:p>
        <w:p w14:paraId="2CFCC2E1" w14:textId="302C54E7" w:rsidR="002D56CB" w:rsidRDefault="00CA5FBC" w:rsidP="00E772B4">
          <w:r>
            <w:t>For further information about the ACCC’s assessment</w:t>
          </w:r>
          <w:r w:rsidR="00BF2AEF">
            <w:t xml:space="preserve"> of the Acquisition</w:t>
          </w:r>
          <w:r>
            <w:t>, see</w:t>
          </w:r>
          <w:r w:rsidR="00631F19">
            <w:t xml:space="preserve"> the </w:t>
          </w:r>
          <w:r w:rsidR="00631F19" w:rsidRPr="007A2972">
            <w:t xml:space="preserve">ACCC’s </w:t>
          </w:r>
          <w:hyperlink r:id="rId12" w:history="1">
            <w:r w:rsidR="00631F19" w:rsidRPr="007A2972">
              <w:rPr>
                <w:rStyle w:val="Hyperlink"/>
              </w:rPr>
              <w:t>Acquisitions Register</w:t>
            </w:r>
          </w:hyperlink>
          <w:r w:rsidR="00631F19">
            <w:t>.</w:t>
          </w:r>
        </w:p>
        <w:p w14:paraId="393554F4" w14:textId="10E00E82" w:rsidR="002F29A8" w:rsidRDefault="00224B99" w:rsidP="00E772B4">
          <w:r>
            <w:t xml:space="preserve">The ACCC </w:t>
          </w:r>
          <w:r w:rsidRPr="00136F75">
            <w:t xml:space="preserve">is </w:t>
          </w:r>
          <w:r w:rsidR="00CA4B9B" w:rsidRPr="00136F75">
            <w:t>assessing the impact of the Acquisition on competition an</w:t>
          </w:r>
          <w:r w:rsidR="00CA4B9B">
            <w:t xml:space="preserve">d is </w:t>
          </w:r>
          <w:r>
            <w:t>seeking your views</w:t>
          </w:r>
          <w:r w:rsidR="00CA4B9B">
            <w:t xml:space="preserve">. The ACCC </w:t>
          </w:r>
          <w:r w:rsidR="00582A60">
            <w:t xml:space="preserve">invites you to provide </w:t>
          </w:r>
          <w:r w:rsidR="00AD791F">
            <w:t>submissions</w:t>
          </w:r>
          <w:r w:rsidR="00BD5D47">
            <w:t xml:space="preserve"> o</w:t>
          </w:r>
          <w:r w:rsidR="004C3237">
            <w:t xml:space="preserve">r </w:t>
          </w:r>
          <w:r w:rsidR="00BD5D47">
            <w:t>information</w:t>
          </w:r>
          <w:r w:rsidR="001A7916">
            <w:t xml:space="preserve"> in</w:t>
          </w:r>
          <w:r>
            <w:t xml:space="preserve"> response to the questions below by </w:t>
          </w:r>
          <w:r w:rsidR="00F17698">
            <w:t>22 May 2026</w:t>
          </w:r>
          <w:r w:rsidR="00CB6FED">
            <w:t xml:space="preserve"> via email to</w:t>
          </w:r>
          <w:r w:rsidR="008A70E9">
            <w:t xml:space="preserve"> </w:t>
          </w:r>
          <w:hyperlink r:id="rId13" w:history="1">
            <w:r w:rsidR="00136F75" w:rsidRPr="00CB1D7C">
              <w:rPr>
                <w:rStyle w:val="Hyperlink"/>
              </w:rPr>
              <w:t>mergers@accc.gov.au</w:t>
            </w:r>
          </w:hyperlink>
          <w:r w:rsidR="00136F75">
            <w:t xml:space="preserve"> with the title </w:t>
          </w:r>
          <w:r w:rsidR="00136F75">
            <w:rPr>
              <w:i/>
              <w:iCs/>
            </w:rPr>
            <w:t>Submission re:</w:t>
          </w:r>
          <w:r w:rsidR="00D437E4">
            <w:rPr>
              <w:i/>
              <w:iCs/>
            </w:rPr>
            <w:t xml:space="preserve"> </w:t>
          </w:r>
          <w:r w:rsidR="0089328F" w:rsidRPr="0089328F">
            <w:rPr>
              <w:i/>
              <w:iCs/>
            </w:rPr>
            <w:t>KKR – HMC Energy Transition Platform</w:t>
          </w:r>
          <w:r w:rsidR="00D437E4">
            <w:rPr>
              <w:i/>
              <w:iCs/>
            </w:rPr>
            <w:t>.</w:t>
          </w:r>
          <w:r>
            <w:t xml:space="preserve"> </w:t>
          </w:r>
          <w:r w:rsidR="00811B26">
            <w:t>The ACCC must complete its assessment within strict statutory timelines</w:t>
          </w:r>
          <w:r w:rsidR="009D34B3">
            <w:t xml:space="preserve"> which also impacts the time available for consultation.</w:t>
          </w:r>
        </w:p>
        <w:p w14:paraId="48CF3A2E" w14:textId="6BF2B41E" w:rsidR="009D220E" w:rsidRPr="004A5E24" w:rsidRDefault="009D220E" w:rsidP="00E772B4">
          <w:pPr>
            <w:rPr>
              <w:i/>
              <w:iCs/>
            </w:rPr>
          </w:pPr>
          <w:bookmarkStart w:id="0" w:name="_Hlk206001294"/>
          <w:r>
            <w:t xml:space="preserve">If you would prefer to </w:t>
          </w:r>
          <w:r w:rsidR="006D1B76">
            <w:t xml:space="preserve">speak to a member of the ACCC case team, </w:t>
          </w:r>
          <w:r>
            <w:t>please</w:t>
          </w:r>
          <w:r w:rsidR="00B244CE">
            <w:t xml:space="preserve"> email </w:t>
          </w:r>
          <w:hyperlink r:id="rId14" w:history="1">
            <w:r w:rsidR="00B244CE" w:rsidRPr="00CB1D7C">
              <w:rPr>
                <w:rStyle w:val="Hyperlink"/>
              </w:rPr>
              <w:t>mergers@accc.gov.au</w:t>
            </w:r>
          </w:hyperlink>
          <w:r w:rsidR="00B244CE">
            <w:t xml:space="preserve"> </w:t>
          </w:r>
          <w:r w:rsidR="006D1B76">
            <w:t xml:space="preserve">with the title </w:t>
          </w:r>
          <w:r w:rsidR="006D1B76">
            <w:rPr>
              <w:i/>
              <w:iCs/>
            </w:rPr>
            <w:t xml:space="preserve">Request for call re: </w:t>
          </w:r>
          <w:r w:rsidR="0089328F" w:rsidRPr="0089328F">
            <w:rPr>
              <w:i/>
              <w:iCs/>
            </w:rPr>
            <w:t>KKR – HMC Energy Transition Platform</w:t>
          </w:r>
          <w:r w:rsidR="006D1B76">
            <w:t>.</w:t>
          </w:r>
          <w:bookmarkEnd w:id="0"/>
          <w:r w:rsidR="00DC5119">
            <w:t xml:space="preserve"> Someone from the case team will contact you to find a suitable time for a call.</w:t>
          </w:r>
        </w:p>
        <w:p w14:paraId="724108E3" w14:textId="77777777" w:rsidR="00A47287" w:rsidRDefault="00224B99" w:rsidP="00E772B4">
          <w:r>
            <w:t>Please note</w:t>
          </w:r>
          <w:r w:rsidR="00A745B5">
            <w:t xml:space="preserve"> </w:t>
          </w:r>
          <w:r w:rsidR="002F29A8">
            <w:t>that</w:t>
          </w:r>
          <w:r w:rsidR="00A47287">
            <w:t>:</w:t>
          </w:r>
        </w:p>
        <w:p w14:paraId="514562AE" w14:textId="7182F846" w:rsidR="00A47287" w:rsidRDefault="00C2115C" w:rsidP="00E772B4">
          <w:pPr>
            <w:pStyle w:val="ListParagraph"/>
            <w:numPr>
              <w:ilvl w:val="0"/>
              <w:numId w:val="32"/>
            </w:numPr>
          </w:pPr>
          <w:r>
            <w:t xml:space="preserve">This </w:t>
          </w:r>
          <w:r w:rsidR="00E4734B">
            <w:t>request</w:t>
          </w:r>
          <w:r>
            <w:t xml:space="preserve"> is made in accordance with </w:t>
          </w:r>
          <w:r w:rsidR="00A745B5">
            <w:t xml:space="preserve">section 51ABZZD(2)(a) </w:t>
          </w:r>
          <w:r w:rsidR="00461A74">
            <w:t xml:space="preserve">and (c) </w:t>
          </w:r>
          <w:r w:rsidR="00A745B5">
            <w:t xml:space="preserve">of the </w:t>
          </w:r>
          <w:r w:rsidR="00A745B5" w:rsidRPr="00A47287">
            <w:rPr>
              <w:i/>
              <w:iCs/>
            </w:rPr>
            <w:t xml:space="preserve">Competition and Consumer Act 2010 </w:t>
          </w:r>
          <w:r w:rsidR="00A745B5">
            <w:t>(</w:t>
          </w:r>
          <w:proofErr w:type="spellStart"/>
          <w:r w:rsidR="00A745B5">
            <w:t>Cth</w:t>
          </w:r>
          <w:proofErr w:type="spellEnd"/>
          <w:r w:rsidR="00A745B5">
            <w:t xml:space="preserve">) (the </w:t>
          </w:r>
          <w:r w:rsidR="00A745B5" w:rsidRPr="00A47287">
            <w:rPr>
              <w:b/>
              <w:bCs/>
            </w:rPr>
            <w:t>Act</w:t>
          </w:r>
          <w:r w:rsidR="00A745B5">
            <w:t>)</w:t>
          </w:r>
          <w:r w:rsidR="00C55F9D">
            <w:t>. This means that while</w:t>
          </w:r>
          <w:r w:rsidR="00A745B5">
            <w:t xml:space="preserve"> </w:t>
          </w:r>
          <w:r w:rsidR="002F29A8">
            <w:t xml:space="preserve">the ACCC may </w:t>
          </w:r>
          <w:proofErr w:type="gramStart"/>
          <w:r w:rsidR="002F29A8">
            <w:t>take into account</w:t>
          </w:r>
          <w:proofErr w:type="gramEnd"/>
          <w:r w:rsidR="002F29A8">
            <w:t xml:space="preserve"> </w:t>
          </w:r>
          <w:r w:rsidR="006E7392">
            <w:t>submissions</w:t>
          </w:r>
          <w:r w:rsidR="00C114BC">
            <w:t xml:space="preserve"> or information</w:t>
          </w:r>
          <w:r w:rsidR="006E7392">
            <w:t xml:space="preserve"> </w:t>
          </w:r>
          <w:r w:rsidR="002F29A8">
            <w:t>received after</w:t>
          </w:r>
          <w:r w:rsidR="00D909CE">
            <w:t xml:space="preserve"> the due date</w:t>
          </w:r>
          <w:r>
            <w:t>,</w:t>
          </w:r>
          <w:r w:rsidR="00782E63">
            <w:t xml:space="preserve"> it is not required to do so</w:t>
          </w:r>
          <w:r w:rsidR="0052696F">
            <w:t>.</w:t>
          </w:r>
        </w:p>
        <w:p w14:paraId="07A6F642" w14:textId="4F01C8BE" w:rsidR="00DA14AB" w:rsidRDefault="00DA14AB" w:rsidP="00E772B4">
          <w:pPr>
            <w:pStyle w:val="ListParagraph"/>
            <w:numPr>
              <w:ilvl w:val="0"/>
              <w:numId w:val="32"/>
            </w:numPr>
          </w:pPr>
          <w:r>
            <w:t>In responding to the questions below</w:t>
          </w:r>
          <w:r w:rsidR="00BF3EFB">
            <w:t xml:space="preserve"> or when providing a submission</w:t>
          </w:r>
          <w:r>
            <w:t xml:space="preserve">, </w:t>
          </w:r>
          <w:r w:rsidR="00E5661A" w:rsidRPr="00E5661A">
            <w:t>please highlight and/or mark any confidential information</w:t>
          </w:r>
          <w:r w:rsidR="00DA08BC">
            <w:t xml:space="preserve"> and </w:t>
          </w:r>
          <w:r w:rsidR="00793C70">
            <w:t xml:space="preserve">indicate </w:t>
          </w:r>
          <w:r w:rsidR="00DA08BC">
            <w:t>why the information is confidential (</w:t>
          </w:r>
          <w:r w:rsidR="00793C70">
            <w:t xml:space="preserve">as brief reasons </w:t>
          </w:r>
          <w:r w:rsidR="00DA08BC">
            <w:t xml:space="preserve">in </w:t>
          </w:r>
          <w:r w:rsidR="00793C70">
            <w:t>footnotes in</w:t>
          </w:r>
          <w:r w:rsidR="00E62E03">
            <w:t xml:space="preserve"> your</w:t>
          </w:r>
          <w:r w:rsidR="00DA08BC">
            <w:t xml:space="preserve"> response or submission, or in a separate document such as the </w:t>
          </w:r>
          <w:r w:rsidR="00760DD0" w:rsidRPr="00760DD0">
            <w:t xml:space="preserve">ACCC’s </w:t>
          </w:r>
          <w:hyperlink r:id="rId15" w:history="1">
            <w:r w:rsidR="00AB0D28">
              <w:rPr>
                <w:rStyle w:val="Hyperlink"/>
              </w:rPr>
              <w:t>c</w:t>
            </w:r>
            <w:r w:rsidR="00760DD0" w:rsidRPr="00760DD0">
              <w:rPr>
                <w:rStyle w:val="Hyperlink"/>
              </w:rPr>
              <w:t>onfidentiality claims template</w:t>
            </w:r>
          </w:hyperlink>
          <w:r w:rsidR="00DA08BC">
            <w:t>)</w:t>
          </w:r>
          <w:r>
            <w:t>. The</w:t>
          </w:r>
          <w:r w:rsidR="008723D7">
            <w:t xml:space="preserve"> standard</w:t>
          </w:r>
          <w:r>
            <w:t xml:space="preserve"> terms on which the ACCC accepts confidential information </w:t>
          </w:r>
          <w:r w:rsidR="006A7FAE">
            <w:t>are</w:t>
          </w:r>
          <w:r>
            <w:t xml:space="preserve"> outline</w:t>
          </w:r>
          <w:r w:rsidR="005D35D7">
            <w:t>d</w:t>
          </w:r>
          <w:r>
            <w:t xml:space="preserve"> at the end of this document.</w:t>
          </w:r>
        </w:p>
        <w:p w14:paraId="57FED917" w14:textId="549B8B6B" w:rsidR="00E006B5" w:rsidRDefault="00617DC8" w:rsidP="00E006B5">
          <w:pPr>
            <w:pStyle w:val="Heading2"/>
          </w:pPr>
          <w:r>
            <w:t xml:space="preserve">Questions </w:t>
          </w:r>
        </w:p>
        <w:p w14:paraId="41E64392" w14:textId="758CA173" w:rsidR="003A40C5" w:rsidRPr="001E3CB1" w:rsidRDefault="003A40C5" w:rsidP="003A40C5">
          <w:pPr>
            <w:pStyle w:val="BodyText"/>
            <w:keepNext/>
            <w:numPr>
              <w:ilvl w:val="0"/>
              <w:numId w:val="30"/>
            </w:numPr>
            <w:spacing w:before="240"/>
            <w:rPr>
              <w:rFonts w:asciiTheme="minorHAnsi" w:hAnsiTheme="minorHAnsi"/>
              <w:sz w:val="22"/>
              <w:szCs w:val="22"/>
              <w:lang w:val="en-AU"/>
            </w:rPr>
          </w:pPr>
          <w:r w:rsidRPr="001E3CB1">
            <w:rPr>
              <w:rFonts w:asciiTheme="minorHAnsi" w:hAnsiTheme="minorHAnsi"/>
              <w:sz w:val="22"/>
              <w:szCs w:val="22"/>
              <w:lang w:val="en-AU"/>
            </w:rPr>
            <w:t xml:space="preserve">Outline any concerns </w:t>
          </w:r>
          <w:r w:rsidR="00DC2AA0">
            <w:rPr>
              <w:rFonts w:asciiTheme="minorHAnsi" w:hAnsiTheme="minorHAnsi"/>
              <w:sz w:val="22"/>
              <w:szCs w:val="22"/>
              <w:lang w:val="en-AU"/>
            </w:rPr>
            <w:t>regarding</w:t>
          </w:r>
          <w:r w:rsidR="00440FDE">
            <w:rPr>
              <w:rFonts w:asciiTheme="minorHAnsi" w:hAnsiTheme="minorHAnsi"/>
              <w:sz w:val="22"/>
              <w:szCs w:val="22"/>
              <w:lang w:val="en-AU"/>
            </w:rPr>
            <w:t xml:space="preserve"> the impact of the Acquisition on competition,</w:t>
          </w:r>
          <w:r w:rsidRPr="001E3CB1">
            <w:rPr>
              <w:rFonts w:asciiTheme="minorHAnsi" w:hAnsiTheme="minorHAnsi"/>
              <w:sz w:val="22"/>
              <w:szCs w:val="22"/>
              <w:lang w:val="en-AU"/>
            </w:rPr>
            <w:t xml:space="preserve"> including </w:t>
          </w:r>
          <w:r w:rsidR="009579F5" w:rsidRPr="009579F5">
            <w:rPr>
              <w:rFonts w:asciiTheme="minorHAnsi" w:hAnsiTheme="minorHAnsi"/>
              <w:sz w:val="22"/>
              <w:szCs w:val="22"/>
              <w:lang w:val="en-AU"/>
            </w:rPr>
            <w:t xml:space="preserve">if </w:t>
          </w:r>
          <w:r w:rsidR="007320F5">
            <w:rPr>
              <w:rFonts w:asciiTheme="minorHAnsi" w:hAnsiTheme="minorHAnsi"/>
              <w:sz w:val="22"/>
              <w:szCs w:val="22"/>
              <w:lang w:val="en-AU"/>
            </w:rPr>
            <w:t xml:space="preserve">KKR (and/or </w:t>
          </w:r>
          <w:r w:rsidR="00A94B4E">
            <w:rPr>
              <w:rFonts w:asciiTheme="minorHAnsi" w:hAnsiTheme="minorHAnsi"/>
              <w:sz w:val="22"/>
              <w:szCs w:val="22"/>
              <w:lang w:val="en-AU"/>
            </w:rPr>
            <w:t>its associated entities such as John Laing Group)</w:t>
          </w:r>
          <w:r w:rsidR="009579F5" w:rsidRPr="009579F5">
            <w:rPr>
              <w:rFonts w:asciiTheme="minorHAnsi" w:hAnsiTheme="minorHAnsi"/>
              <w:sz w:val="22"/>
              <w:szCs w:val="22"/>
              <w:lang w:val="en-AU"/>
            </w:rPr>
            <w:t xml:space="preserve"> and </w:t>
          </w:r>
          <w:r w:rsidR="00A94B4E">
            <w:rPr>
              <w:rFonts w:asciiTheme="minorHAnsi" w:hAnsiTheme="minorHAnsi"/>
              <w:sz w:val="22"/>
              <w:szCs w:val="22"/>
              <w:lang w:val="en-AU"/>
            </w:rPr>
            <w:t>HMC Platform</w:t>
          </w:r>
          <w:r w:rsidR="009579F5" w:rsidRPr="009579F5">
            <w:rPr>
              <w:rFonts w:asciiTheme="minorHAnsi" w:hAnsiTheme="minorHAnsi"/>
              <w:sz w:val="22"/>
              <w:szCs w:val="22"/>
              <w:lang w:val="en-AU"/>
            </w:rPr>
            <w:t xml:space="preserve"> are close competitors and there are not many alternatives or if one is a major supplier to competitors of the othe</w:t>
          </w:r>
          <w:r w:rsidR="009579F5">
            <w:rPr>
              <w:rFonts w:asciiTheme="minorHAnsi" w:hAnsiTheme="minorHAnsi"/>
              <w:sz w:val="22"/>
              <w:szCs w:val="22"/>
              <w:lang w:val="en-AU"/>
            </w:rPr>
            <w:t>r</w:t>
          </w:r>
          <w:r w:rsidRPr="001E3CB1">
            <w:rPr>
              <w:rFonts w:asciiTheme="minorHAnsi" w:hAnsiTheme="minorHAnsi"/>
              <w:sz w:val="22"/>
              <w:szCs w:val="22"/>
              <w:lang w:val="en-AU"/>
            </w:rPr>
            <w:t>.</w:t>
          </w:r>
        </w:p>
        <w:p w14:paraId="39BB0691" w14:textId="77777777" w:rsidR="003A40C5" w:rsidRPr="001E3CB1" w:rsidRDefault="003A40C5" w:rsidP="003A40C5">
          <w:pPr>
            <w:pStyle w:val="BoxText"/>
            <w:rPr>
              <w:rFonts w:asciiTheme="minorHAnsi" w:hAnsiTheme="minorHAnsi"/>
              <w:sz w:val="22"/>
              <w:szCs w:val="22"/>
            </w:rPr>
          </w:pPr>
        </w:p>
        <w:p w14:paraId="4E7D6A84" w14:textId="05F62619" w:rsidR="00CD1C13" w:rsidRPr="001E3CB1" w:rsidRDefault="00CD1C13" w:rsidP="00CD1C13">
          <w:pPr>
            <w:pStyle w:val="BodyText"/>
            <w:keepNext/>
            <w:numPr>
              <w:ilvl w:val="0"/>
              <w:numId w:val="30"/>
            </w:numPr>
            <w:spacing w:before="240"/>
            <w:rPr>
              <w:rFonts w:asciiTheme="minorHAnsi" w:hAnsiTheme="minorHAnsi"/>
              <w:sz w:val="22"/>
              <w:szCs w:val="22"/>
              <w:lang w:val="en-AU"/>
            </w:rPr>
          </w:pPr>
          <w:r w:rsidRPr="001E3CB1">
            <w:rPr>
              <w:rFonts w:asciiTheme="minorHAnsi" w:hAnsiTheme="minorHAnsi"/>
              <w:sz w:val="22"/>
              <w:szCs w:val="22"/>
              <w:lang w:val="en-AU"/>
            </w:rPr>
            <w:lastRenderedPageBreak/>
            <w:t>Provide any additional information or comments that you consider relevant to the ACCC’s assessment of the Acquisition.</w:t>
          </w:r>
        </w:p>
        <w:p w14:paraId="3C6C290A" w14:textId="77777777" w:rsidR="00CD1C13" w:rsidRPr="001E3CB1" w:rsidRDefault="00CD1C13" w:rsidP="00CD1C13">
          <w:pPr>
            <w:pStyle w:val="BoxText"/>
            <w:rPr>
              <w:rFonts w:asciiTheme="minorHAnsi" w:hAnsiTheme="minorHAnsi"/>
              <w:sz w:val="22"/>
              <w:szCs w:val="22"/>
            </w:rPr>
          </w:pPr>
        </w:p>
        <w:p w14:paraId="2DFE6B2E" w14:textId="48CDCB3A" w:rsidR="00255A56" w:rsidRPr="001E3CB1" w:rsidRDefault="003E633F" w:rsidP="00255A56">
          <w:pPr>
            <w:pStyle w:val="BodyText"/>
            <w:keepNext/>
            <w:numPr>
              <w:ilvl w:val="0"/>
              <w:numId w:val="30"/>
            </w:numPr>
            <w:spacing w:before="240"/>
            <w:rPr>
              <w:rFonts w:asciiTheme="minorHAnsi" w:hAnsiTheme="minorHAnsi"/>
              <w:sz w:val="22"/>
              <w:szCs w:val="22"/>
              <w:lang w:val="en-AU"/>
            </w:rPr>
          </w:pPr>
          <w:bookmarkStart w:id="1" w:name="_Hlk205823490"/>
          <w:r w:rsidRPr="001E3CB1">
            <w:rPr>
              <w:rFonts w:asciiTheme="minorHAnsi" w:hAnsiTheme="minorHAnsi"/>
              <w:sz w:val="22"/>
              <w:szCs w:val="22"/>
              <w:lang w:val="en-AU"/>
            </w:rPr>
            <w:t xml:space="preserve">Provide a brief description of your business or organisation, including </w:t>
          </w:r>
          <w:r w:rsidR="00EC46E6" w:rsidRPr="001E3CB1">
            <w:rPr>
              <w:rFonts w:asciiTheme="minorHAnsi" w:hAnsiTheme="minorHAnsi"/>
              <w:sz w:val="22"/>
              <w:szCs w:val="22"/>
              <w:lang w:val="en-AU"/>
            </w:rPr>
            <w:t>any commercial relationships with</w:t>
          </w:r>
          <w:r w:rsidRPr="001E3CB1">
            <w:rPr>
              <w:rFonts w:asciiTheme="minorHAnsi" w:hAnsiTheme="minorHAnsi"/>
              <w:sz w:val="22"/>
              <w:szCs w:val="22"/>
              <w:lang w:val="en-AU"/>
            </w:rPr>
            <w:t xml:space="preserve"> </w:t>
          </w:r>
          <w:r w:rsidR="00A94B4E">
            <w:rPr>
              <w:rFonts w:asciiTheme="minorHAnsi" w:hAnsiTheme="minorHAnsi"/>
              <w:sz w:val="22"/>
              <w:szCs w:val="22"/>
              <w:lang w:val="en-AU"/>
            </w:rPr>
            <w:t>KKR (and/or its associated entities such as John Laing Group)</w:t>
          </w:r>
          <w:r w:rsidR="00A94B4E" w:rsidRPr="009579F5">
            <w:rPr>
              <w:rFonts w:asciiTheme="minorHAnsi" w:hAnsiTheme="minorHAnsi"/>
              <w:sz w:val="22"/>
              <w:szCs w:val="22"/>
              <w:lang w:val="en-AU"/>
            </w:rPr>
            <w:t xml:space="preserve"> </w:t>
          </w:r>
          <w:r w:rsidRPr="001E3CB1">
            <w:rPr>
              <w:rFonts w:asciiTheme="minorHAnsi" w:hAnsiTheme="minorHAnsi"/>
              <w:sz w:val="22"/>
              <w:szCs w:val="22"/>
              <w:lang w:val="en-AU"/>
            </w:rPr>
            <w:t>and</w:t>
          </w:r>
          <w:r w:rsidR="00EC46E6" w:rsidRPr="001E3CB1">
            <w:rPr>
              <w:rFonts w:asciiTheme="minorHAnsi" w:hAnsiTheme="minorHAnsi"/>
              <w:sz w:val="22"/>
              <w:szCs w:val="22"/>
              <w:lang w:val="en-AU"/>
            </w:rPr>
            <w:t>/</w:t>
          </w:r>
          <w:r w:rsidRPr="001E3CB1">
            <w:rPr>
              <w:rFonts w:asciiTheme="minorHAnsi" w:hAnsiTheme="minorHAnsi"/>
              <w:sz w:val="22"/>
              <w:szCs w:val="22"/>
              <w:lang w:val="en-AU"/>
            </w:rPr>
            <w:t>or</w:t>
          </w:r>
          <w:r w:rsidR="00A94B4E">
            <w:rPr>
              <w:rFonts w:asciiTheme="minorHAnsi" w:hAnsiTheme="minorHAnsi"/>
              <w:sz w:val="22"/>
              <w:szCs w:val="22"/>
              <w:lang w:val="en-AU"/>
            </w:rPr>
            <w:t xml:space="preserve"> HMC Platform</w:t>
          </w:r>
          <w:r w:rsidR="004C4854" w:rsidRPr="001E3CB1">
            <w:rPr>
              <w:rFonts w:asciiTheme="minorHAnsi" w:hAnsiTheme="minorHAnsi"/>
              <w:sz w:val="22"/>
              <w:szCs w:val="22"/>
              <w:lang w:val="en-AU"/>
            </w:rPr>
            <w:t>.</w:t>
          </w:r>
        </w:p>
        <w:bookmarkEnd w:id="1"/>
        <w:p w14:paraId="3B6FEA7E" w14:textId="0C593323" w:rsidR="00BA6C58" w:rsidRPr="00A94B4E" w:rsidRDefault="00BA6C58" w:rsidP="00255A56">
          <w:pPr>
            <w:pStyle w:val="BoxText"/>
            <w:rPr>
              <w:rFonts w:asciiTheme="minorHAnsi" w:hAnsiTheme="minorHAnsi"/>
              <w:sz w:val="22"/>
              <w:szCs w:val="22"/>
              <w:lang w:val="en-AU"/>
            </w:rPr>
          </w:pPr>
        </w:p>
        <w:p w14:paraId="3F8F2794" w14:textId="47848112" w:rsidR="008959DD" w:rsidRDefault="004D127A" w:rsidP="00255A56">
          <w:pPr>
            <w:pStyle w:val="Numberedparagraph11"/>
            <w:numPr>
              <w:ilvl w:val="0"/>
              <w:numId w:val="0"/>
            </w:numPr>
            <w:rPr>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Default="00E006B5" w:rsidP="00E006B5">
            <w:pPr>
              <w:pStyle w:val="Numberedparagraph11"/>
              <w:numPr>
                <w:ilvl w:val="0"/>
                <w:numId w:val="0"/>
              </w:numPr>
              <w:jc w:val="center"/>
              <w:rPr>
                <w:rStyle w:val="Strong"/>
              </w:rPr>
            </w:pPr>
            <w:r>
              <w:rPr>
                <w:rStyle w:val="Strong"/>
                <w:rFonts w:eastAsiaTheme="minorHAnsi"/>
                <w:b/>
                <w:bCs w:val="0"/>
              </w:rPr>
              <w:t>C</w:t>
            </w:r>
            <w:r>
              <w:rPr>
                <w:rStyle w:val="Strong"/>
                <w:b/>
              </w:rPr>
              <w:t>onfidentiality of response</w:t>
            </w:r>
            <w:r w:rsidRPr="00E006B5">
              <w:rPr>
                <w:rStyle w:val="Strong"/>
                <w:b/>
              </w:rPr>
              <w:t>s</w:t>
            </w:r>
          </w:p>
          <w:p w14:paraId="59B72B2F" w14:textId="2FDEDCAE" w:rsidR="002756D7" w:rsidRPr="00961072" w:rsidRDefault="00961072" w:rsidP="00961072">
            <w:r w:rsidRPr="00961072">
              <w:rPr>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Default="008723D7" w:rsidP="008723D7">
            <w:pPr>
              <w:rPr>
                <w:bCs/>
              </w:rPr>
            </w:pPr>
            <w:bookmarkStart w:id="2" w:name="_Hlk205823965"/>
            <w:r>
              <w:rPr>
                <w:b w:val="0"/>
                <w:bCs/>
              </w:rPr>
              <w:t xml:space="preserve">The </w:t>
            </w:r>
            <w:r w:rsidRPr="008723D7">
              <w:rPr>
                <w:b w:val="0"/>
                <w:bCs/>
              </w:rPr>
              <w:t>standard terms on which the ACCC accept</w:t>
            </w:r>
            <w:r>
              <w:rPr>
                <w:b w:val="0"/>
                <w:bCs/>
              </w:rPr>
              <w:t>s</w:t>
            </w:r>
            <w:r w:rsidRPr="008723D7">
              <w:rPr>
                <w:b w:val="0"/>
                <w:bCs/>
              </w:rPr>
              <w:t xml:space="preserve"> confidential information</w:t>
            </w:r>
            <w:r>
              <w:rPr>
                <w:b w:val="0"/>
                <w:bCs/>
              </w:rPr>
              <w:t xml:space="preserve"> </w:t>
            </w:r>
            <w:r w:rsidR="00EC3A55">
              <w:rPr>
                <w:b w:val="0"/>
                <w:bCs/>
              </w:rPr>
              <w:t>are</w:t>
            </w:r>
            <w:r w:rsidRPr="008723D7">
              <w:rPr>
                <w:b w:val="0"/>
                <w:bCs/>
              </w:rPr>
              <w:t xml:space="preserve">: </w:t>
            </w:r>
          </w:p>
          <w:p w14:paraId="20D957AC" w14:textId="028F3A9A" w:rsidR="008723D7" w:rsidRPr="008723D7" w:rsidRDefault="008723D7" w:rsidP="008723D7">
            <w:pPr>
              <w:pStyle w:val="ListParagraph"/>
              <w:numPr>
                <w:ilvl w:val="0"/>
                <w:numId w:val="25"/>
              </w:numPr>
              <w:rPr>
                <w:rFonts w:asciiTheme="minorHAnsi" w:hAnsiTheme="minorHAnsi"/>
                <w:b w:val="0"/>
                <w:color w:val="000000" w:themeColor="text1"/>
                <w:szCs w:val="20"/>
              </w:rPr>
            </w:pPr>
            <w:r w:rsidRPr="008723D7">
              <w:rPr>
                <w:b w:val="0"/>
                <w:szCs w:val="20"/>
              </w:rPr>
              <w:t>there</w:t>
            </w:r>
            <w:r w:rsidRPr="008723D7">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192973" w:rsidRDefault="008723D7" w:rsidP="002756D7">
            <w:pPr>
              <w:pStyle w:val="ListParagraph"/>
              <w:numPr>
                <w:ilvl w:val="0"/>
                <w:numId w:val="25"/>
              </w:numPr>
              <w:rPr>
                <w:rFonts w:asciiTheme="minorHAnsi" w:hAnsiTheme="minorHAnsi"/>
                <w:b w:val="0"/>
                <w:color w:val="000000" w:themeColor="text1"/>
                <w:szCs w:val="20"/>
              </w:rPr>
            </w:pPr>
            <w:r w:rsidRPr="008723D7">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Pr>
                <w:rFonts w:asciiTheme="minorHAnsi" w:hAnsiTheme="minorHAnsi"/>
                <w:b w:val="0"/>
                <w:color w:val="000000" w:themeColor="text1"/>
                <w:szCs w:val="20"/>
              </w:rPr>
              <w:t>,</w:t>
            </w:r>
            <w:r w:rsidRPr="008723D7">
              <w:rPr>
                <w:rFonts w:asciiTheme="minorHAnsi" w:hAnsiTheme="minorHAnsi"/>
                <w:b w:val="0"/>
                <w:color w:val="000000" w:themeColor="text1"/>
                <w:szCs w:val="20"/>
              </w:rPr>
              <w:t xml:space="preserve"> and</w:t>
            </w:r>
          </w:p>
          <w:p w14:paraId="5B59BD36" w14:textId="4CD7EB97" w:rsidR="00E006B5" w:rsidRPr="00192973" w:rsidRDefault="00760DD0" w:rsidP="002756D7">
            <w:pPr>
              <w:pStyle w:val="ListParagraph"/>
              <w:numPr>
                <w:ilvl w:val="0"/>
                <w:numId w:val="25"/>
              </w:numPr>
              <w:rPr>
                <w:rFonts w:asciiTheme="minorHAnsi" w:hAnsiTheme="minorHAnsi"/>
                <w:b w:val="0"/>
                <w:bCs/>
                <w:color w:val="000000" w:themeColor="text1"/>
                <w:szCs w:val="20"/>
              </w:rPr>
            </w:pPr>
            <w:r w:rsidRPr="00192973">
              <w:rPr>
                <w:b w:val="0"/>
                <w:bCs/>
                <w:szCs w:val="20"/>
              </w:rPr>
              <w:t>the</w:t>
            </w:r>
            <w:r w:rsidRPr="00192973">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961072" w:rsidRDefault="00760DD0" w:rsidP="002756D7">
            <w:pPr>
              <w:rPr>
                <w:rStyle w:val="Strong"/>
                <w:rFonts w:asciiTheme="minorHAnsi" w:hAnsiTheme="minorHAnsi"/>
                <w:color w:val="000000" w:themeColor="text1"/>
                <w:szCs w:val="20"/>
              </w:rPr>
            </w:pPr>
            <w:r w:rsidRPr="00760DD0">
              <w:rPr>
                <w:rStyle w:val="Strong"/>
                <w:rFonts w:asciiTheme="minorHAnsi" w:hAnsiTheme="minorHAnsi"/>
                <w:color w:val="000000" w:themeColor="text1"/>
                <w:szCs w:val="20"/>
              </w:rPr>
              <w:t xml:space="preserve">For further information on confidentiality, see the ACCC’s </w:t>
            </w:r>
            <w:hyperlink r:id="rId16" w:history="1">
              <w:r w:rsidRPr="00760DD0">
                <w:rPr>
                  <w:rStyle w:val="Hyperlink"/>
                  <w:rFonts w:asciiTheme="minorHAnsi" w:hAnsiTheme="minorHAnsi"/>
                  <w:b w:val="0"/>
                  <w:sz w:val="20"/>
                  <w:szCs w:val="20"/>
                </w:rPr>
                <w:t>interim merger process guidelines</w:t>
              </w:r>
            </w:hyperlink>
            <w:r w:rsidR="0045354E">
              <w:rPr>
                <w:rStyle w:val="Strong"/>
                <w:rFonts w:asciiTheme="minorHAnsi" w:hAnsiTheme="minorHAnsi"/>
                <w:color w:val="000000" w:themeColor="text1"/>
                <w:szCs w:val="20"/>
              </w:rPr>
              <w:t>.</w:t>
            </w:r>
            <w:r w:rsidRPr="00760DD0">
              <w:rPr>
                <w:rStyle w:val="Strong"/>
                <w:rFonts w:asciiTheme="minorHAnsi" w:hAnsiTheme="minorHAnsi"/>
                <w:color w:val="000000" w:themeColor="text1"/>
                <w:szCs w:val="20"/>
              </w:rPr>
              <w:t xml:space="preserve"> </w:t>
            </w:r>
            <w:bookmarkEnd w:id="2"/>
          </w:p>
        </w:tc>
      </w:tr>
    </w:tbl>
    <w:p w14:paraId="76837EB7" w14:textId="77777777" w:rsidR="00BA6C58" w:rsidRPr="00617DC8" w:rsidRDefault="00BA6C58" w:rsidP="00617DC8">
      <w:pPr>
        <w:pStyle w:val="Numberedparagraph11"/>
        <w:numPr>
          <w:ilvl w:val="0"/>
          <w:numId w:val="0"/>
        </w:numPr>
        <w:ind w:left="680" w:hanging="680"/>
        <w:rPr>
          <w:rStyle w:val="Strong"/>
          <w:rFonts w:eastAsiaTheme="minorHAnsi"/>
          <w:b w:val="0"/>
          <w:bCs w:val="0"/>
        </w:rPr>
      </w:pPr>
    </w:p>
    <w:sectPr w:rsidR="00BA6C58" w:rsidRPr="00617DC8" w:rsidSect="005C2005">
      <w:headerReference w:type="even" r:id="rId17"/>
      <w:headerReference w:type="default" r:id="rId18"/>
      <w:footerReference w:type="even" r:id="rId19"/>
      <w:footerReference w:type="default" r:id="rId20"/>
      <w:headerReference w:type="first" r:id="rId21"/>
      <w:footerReference w:type="first" r:id="rId22"/>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C21A5" w14:textId="77777777" w:rsidR="001F6AF8" w:rsidRDefault="001F6AF8" w:rsidP="004B4412">
      <w:pPr>
        <w:spacing w:before="0"/>
      </w:pPr>
      <w:r>
        <w:separator/>
      </w:r>
    </w:p>
  </w:endnote>
  <w:endnote w:type="continuationSeparator" w:id="0">
    <w:p w14:paraId="75389486" w14:textId="77777777" w:rsidR="001F6AF8" w:rsidRDefault="001F6AF8" w:rsidP="004B4412">
      <w:pPr>
        <w:spacing w:before="0"/>
      </w:pPr>
      <w:r>
        <w:continuationSeparator/>
      </w:r>
    </w:p>
  </w:endnote>
  <w:endnote w:type="continuationNotice" w:id="1">
    <w:p w14:paraId="15FE5457" w14:textId="77777777" w:rsidR="001F6AF8" w:rsidRDefault="001F6AF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4247" w14:textId="77777777" w:rsidR="00461A74" w:rsidRDefault="00461A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5643"/>
      <w:docPartObj>
        <w:docPartGallery w:val="Page Numbers (Bottom of Page)"/>
        <w:docPartUnique/>
      </w:docPartObj>
    </w:sdtPr>
    <w:sdtEndPr>
      <w:rPr>
        <w:noProof/>
      </w:rPr>
    </w:sdtEndPr>
    <w:sdtContent>
      <w:p w14:paraId="3CA3B2DE" w14:textId="6F1370C2" w:rsidR="00AC0EE8" w:rsidRDefault="00AC0E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0E410" w14:textId="4835379F" w:rsidR="00F743D8" w:rsidRDefault="00F743D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7324F" w14:textId="77777777" w:rsidR="00461A74" w:rsidRDefault="00461A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E069B" w14:textId="77777777" w:rsidR="001F6AF8" w:rsidRDefault="001F6AF8" w:rsidP="004B4412">
      <w:pPr>
        <w:spacing w:before="0"/>
      </w:pPr>
      <w:r>
        <w:separator/>
      </w:r>
    </w:p>
  </w:footnote>
  <w:footnote w:type="continuationSeparator" w:id="0">
    <w:p w14:paraId="7AA95745" w14:textId="77777777" w:rsidR="001F6AF8" w:rsidRDefault="001F6AF8" w:rsidP="004B4412">
      <w:pPr>
        <w:spacing w:before="0"/>
      </w:pPr>
      <w:r>
        <w:continuationSeparator/>
      </w:r>
    </w:p>
  </w:footnote>
  <w:footnote w:type="continuationNotice" w:id="1">
    <w:p w14:paraId="23115C67" w14:textId="77777777" w:rsidR="001F6AF8" w:rsidRDefault="001F6AF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69B6D" w14:textId="77777777" w:rsidR="00461A74" w:rsidRDefault="00461A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D459" w14:textId="77777777" w:rsidR="00461A74" w:rsidRDefault="00461A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1100" w14:textId="6EE1A405" w:rsidR="00FE1C0C" w:rsidRDefault="00617DC8" w:rsidP="00617DC8">
    <w:pPr>
      <w:pStyle w:val="Header"/>
      <w:tabs>
        <w:tab w:val="clear" w:pos="4513"/>
        <w:tab w:val="clear" w:pos="9026"/>
        <w:tab w:val="left" w:pos="953"/>
      </w:tabs>
    </w:pPr>
    <w:r>
      <w:rPr>
        <w:noProof/>
      </w:rPr>
      <w:drawing>
        <wp:inline distT="0" distB="0" distL="0" distR="0" wp14:anchorId="615E59A3" wp14:editId="157AF29E">
          <wp:extent cx="2413591" cy="665818"/>
          <wp:effectExtent l="0" t="0" r="0" b="0"/>
          <wp:docPr id="2131527087" name="Picture 5" descr="ACCC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C Logo&#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3591" cy="665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7"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29"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29"/>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6"/>
  </w:num>
  <w:num w:numId="11" w16cid:durableId="1891382519">
    <w:abstractNumId w:val="28"/>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7"/>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544B"/>
    <w:rsid w:val="00005623"/>
    <w:rsid w:val="00006789"/>
    <w:rsid w:val="00007484"/>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BDC"/>
    <w:rsid w:val="000527DC"/>
    <w:rsid w:val="00052BD2"/>
    <w:rsid w:val="000549D5"/>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676"/>
    <w:rsid w:val="00087AF0"/>
    <w:rsid w:val="000900EE"/>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C7D80"/>
    <w:rsid w:val="000D032D"/>
    <w:rsid w:val="000D09F0"/>
    <w:rsid w:val="000D122C"/>
    <w:rsid w:val="000D4543"/>
    <w:rsid w:val="000D6BFF"/>
    <w:rsid w:val="000D6E58"/>
    <w:rsid w:val="000D722C"/>
    <w:rsid w:val="000E015E"/>
    <w:rsid w:val="000E058D"/>
    <w:rsid w:val="000E118E"/>
    <w:rsid w:val="000E1520"/>
    <w:rsid w:val="000E1819"/>
    <w:rsid w:val="000E3A2E"/>
    <w:rsid w:val="000E5E26"/>
    <w:rsid w:val="000E61F9"/>
    <w:rsid w:val="000E6C72"/>
    <w:rsid w:val="000F0C33"/>
    <w:rsid w:val="000F2368"/>
    <w:rsid w:val="000F2957"/>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1DD8"/>
    <w:rsid w:val="001526D9"/>
    <w:rsid w:val="0015320F"/>
    <w:rsid w:val="00156EBC"/>
    <w:rsid w:val="001573E4"/>
    <w:rsid w:val="00160756"/>
    <w:rsid w:val="00160795"/>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AC7"/>
    <w:rsid w:val="00181223"/>
    <w:rsid w:val="00183933"/>
    <w:rsid w:val="00183AF1"/>
    <w:rsid w:val="00185199"/>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3D58"/>
    <w:rsid w:val="001F436D"/>
    <w:rsid w:val="001F492E"/>
    <w:rsid w:val="001F6AF8"/>
    <w:rsid w:val="001F6DA3"/>
    <w:rsid w:val="001F709B"/>
    <w:rsid w:val="002026CD"/>
    <w:rsid w:val="00202906"/>
    <w:rsid w:val="002048DE"/>
    <w:rsid w:val="0020645C"/>
    <w:rsid w:val="00207901"/>
    <w:rsid w:val="00212737"/>
    <w:rsid w:val="00215063"/>
    <w:rsid w:val="00215B17"/>
    <w:rsid w:val="00216E0E"/>
    <w:rsid w:val="00216F65"/>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472"/>
    <w:rsid w:val="0026662C"/>
    <w:rsid w:val="00266D14"/>
    <w:rsid w:val="0026772D"/>
    <w:rsid w:val="002708AD"/>
    <w:rsid w:val="00270C6B"/>
    <w:rsid w:val="00270D3A"/>
    <w:rsid w:val="00271392"/>
    <w:rsid w:val="00271DE8"/>
    <w:rsid w:val="00271F7D"/>
    <w:rsid w:val="002721A5"/>
    <w:rsid w:val="002730B3"/>
    <w:rsid w:val="00273E7D"/>
    <w:rsid w:val="002740CF"/>
    <w:rsid w:val="002756D7"/>
    <w:rsid w:val="0028103B"/>
    <w:rsid w:val="0028677E"/>
    <w:rsid w:val="00286874"/>
    <w:rsid w:val="00286FBD"/>
    <w:rsid w:val="002874ED"/>
    <w:rsid w:val="00287F89"/>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C6B"/>
    <w:rsid w:val="002C7D40"/>
    <w:rsid w:val="002D56CB"/>
    <w:rsid w:val="002D5F49"/>
    <w:rsid w:val="002D7472"/>
    <w:rsid w:val="002E064D"/>
    <w:rsid w:val="002E0D3D"/>
    <w:rsid w:val="002E4878"/>
    <w:rsid w:val="002E4AF4"/>
    <w:rsid w:val="002F01D3"/>
    <w:rsid w:val="002F07C0"/>
    <w:rsid w:val="002F0DA1"/>
    <w:rsid w:val="002F294A"/>
    <w:rsid w:val="002F29A8"/>
    <w:rsid w:val="002F4ED7"/>
    <w:rsid w:val="002F7986"/>
    <w:rsid w:val="002F7F94"/>
    <w:rsid w:val="00300B1C"/>
    <w:rsid w:val="00303C4A"/>
    <w:rsid w:val="00305F7C"/>
    <w:rsid w:val="003062CC"/>
    <w:rsid w:val="00307F6D"/>
    <w:rsid w:val="00311377"/>
    <w:rsid w:val="003126AF"/>
    <w:rsid w:val="00312766"/>
    <w:rsid w:val="003129FF"/>
    <w:rsid w:val="0031652E"/>
    <w:rsid w:val="003177A2"/>
    <w:rsid w:val="00317A11"/>
    <w:rsid w:val="003216D5"/>
    <w:rsid w:val="003221EB"/>
    <w:rsid w:val="003232F9"/>
    <w:rsid w:val="003271B5"/>
    <w:rsid w:val="00327894"/>
    <w:rsid w:val="00327E04"/>
    <w:rsid w:val="00331264"/>
    <w:rsid w:val="00331F15"/>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45C1"/>
    <w:rsid w:val="0035551A"/>
    <w:rsid w:val="00355747"/>
    <w:rsid w:val="00355E94"/>
    <w:rsid w:val="003579D0"/>
    <w:rsid w:val="00363926"/>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34ED"/>
    <w:rsid w:val="003A40C5"/>
    <w:rsid w:val="003A4A54"/>
    <w:rsid w:val="003A5B19"/>
    <w:rsid w:val="003A671F"/>
    <w:rsid w:val="003A673F"/>
    <w:rsid w:val="003A7818"/>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4A29"/>
    <w:rsid w:val="003D5061"/>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27A"/>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EB5"/>
    <w:rsid w:val="004F53F5"/>
    <w:rsid w:val="00503002"/>
    <w:rsid w:val="005038DB"/>
    <w:rsid w:val="005049C8"/>
    <w:rsid w:val="005063B8"/>
    <w:rsid w:val="005067C7"/>
    <w:rsid w:val="00507084"/>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39"/>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DF6"/>
    <w:rsid w:val="005D1056"/>
    <w:rsid w:val="005D1401"/>
    <w:rsid w:val="005D1D9B"/>
    <w:rsid w:val="005D1E37"/>
    <w:rsid w:val="005D35D7"/>
    <w:rsid w:val="005D39F3"/>
    <w:rsid w:val="005D5515"/>
    <w:rsid w:val="005D5A94"/>
    <w:rsid w:val="005D5DB5"/>
    <w:rsid w:val="005D7A50"/>
    <w:rsid w:val="005D7DD2"/>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BD4"/>
    <w:rsid w:val="00630AFF"/>
    <w:rsid w:val="00631F19"/>
    <w:rsid w:val="006325C4"/>
    <w:rsid w:val="00632D6D"/>
    <w:rsid w:val="00632E1C"/>
    <w:rsid w:val="00632E83"/>
    <w:rsid w:val="00635B54"/>
    <w:rsid w:val="00635FEF"/>
    <w:rsid w:val="00642C3E"/>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707CD"/>
    <w:rsid w:val="00671AE7"/>
    <w:rsid w:val="00672640"/>
    <w:rsid w:val="00676679"/>
    <w:rsid w:val="0068184C"/>
    <w:rsid w:val="00681C9B"/>
    <w:rsid w:val="00681CC4"/>
    <w:rsid w:val="00682416"/>
    <w:rsid w:val="00683AB1"/>
    <w:rsid w:val="00684CEE"/>
    <w:rsid w:val="00685508"/>
    <w:rsid w:val="0068645C"/>
    <w:rsid w:val="00687F39"/>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1EA5"/>
    <w:rsid w:val="006B1F08"/>
    <w:rsid w:val="006B229D"/>
    <w:rsid w:val="006B4004"/>
    <w:rsid w:val="006B4CF9"/>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20F5"/>
    <w:rsid w:val="00733354"/>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57695"/>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61A8"/>
    <w:rsid w:val="00786E92"/>
    <w:rsid w:val="00787120"/>
    <w:rsid w:val="0078728D"/>
    <w:rsid w:val="00787E27"/>
    <w:rsid w:val="00790656"/>
    <w:rsid w:val="0079157E"/>
    <w:rsid w:val="00792606"/>
    <w:rsid w:val="00792D61"/>
    <w:rsid w:val="00793C70"/>
    <w:rsid w:val="00795CFF"/>
    <w:rsid w:val="00796663"/>
    <w:rsid w:val="00797B0E"/>
    <w:rsid w:val="007A0529"/>
    <w:rsid w:val="007A1D45"/>
    <w:rsid w:val="007A2972"/>
    <w:rsid w:val="007A36C2"/>
    <w:rsid w:val="007A5BA2"/>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7E1F"/>
    <w:rsid w:val="008304BF"/>
    <w:rsid w:val="008340C8"/>
    <w:rsid w:val="008344F6"/>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FE1"/>
    <w:rsid w:val="00853C91"/>
    <w:rsid w:val="00854B8B"/>
    <w:rsid w:val="00857F82"/>
    <w:rsid w:val="00860B72"/>
    <w:rsid w:val="00862839"/>
    <w:rsid w:val="00863ABF"/>
    <w:rsid w:val="00864897"/>
    <w:rsid w:val="008655FE"/>
    <w:rsid w:val="00866157"/>
    <w:rsid w:val="0086712E"/>
    <w:rsid w:val="0086756C"/>
    <w:rsid w:val="008676E3"/>
    <w:rsid w:val="00870400"/>
    <w:rsid w:val="0087050D"/>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908F0"/>
    <w:rsid w:val="0089328F"/>
    <w:rsid w:val="0089354E"/>
    <w:rsid w:val="008945B4"/>
    <w:rsid w:val="008954D0"/>
    <w:rsid w:val="008959DD"/>
    <w:rsid w:val="0089708A"/>
    <w:rsid w:val="008973A1"/>
    <w:rsid w:val="008A0E1D"/>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26D4E"/>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701CE"/>
    <w:rsid w:val="00970976"/>
    <w:rsid w:val="00972CD5"/>
    <w:rsid w:val="00975BE0"/>
    <w:rsid w:val="0097664C"/>
    <w:rsid w:val="009766B4"/>
    <w:rsid w:val="00980836"/>
    <w:rsid w:val="00983A33"/>
    <w:rsid w:val="009848B2"/>
    <w:rsid w:val="00984CFC"/>
    <w:rsid w:val="009856B7"/>
    <w:rsid w:val="0098584E"/>
    <w:rsid w:val="0098602B"/>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682"/>
    <w:rsid w:val="009C1E62"/>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D01"/>
    <w:rsid w:val="009E2028"/>
    <w:rsid w:val="009E3516"/>
    <w:rsid w:val="009F0472"/>
    <w:rsid w:val="009F1673"/>
    <w:rsid w:val="009F17F5"/>
    <w:rsid w:val="009F18D9"/>
    <w:rsid w:val="009F2A65"/>
    <w:rsid w:val="009F2BE5"/>
    <w:rsid w:val="009F4528"/>
    <w:rsid w:val="009F4940"/>
    <w:rsid w:val="009F543E"/>
    <w:rsid w:val="009F5557"/>
    <w:rsid w:val="009F75D6"/>
    <w:rsid w:val="009F75EB"/>
    <w:rsid w:val="009F7B9E"/>
    <w:rsid w:val="009F7BE4"/>
    <w:rsid w:val="00A01818"/>
    <w:rsid w:val="00A02A62"/>
    <w:rsid w:val="00A04A5B"/>
    <w:rsid w:val="00A0516D"/>
    <w:rsid w:val="00A06206"/>
    <w:rsid w:val="00A0690B"/>
    <w:rsid w:val="00A06ACC"/>
    <w:rsid w:val="00A119DE"/>
    <w:rsid w:val="00A13008"/>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7287"/>
    <w:rsid w:val="00A4732A"/>
    <w:rsid w:val="00A50C27"/>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4B4E"/>
    <w:rsid w:val="00A951A5"/>
    <w:rsid w:val="00A9657A"/>
    <w:rsid w:val="00A96E4C"/>
    <w:rsid w:val="00A97EF7"/>
    <w:rsid w:val="00AA13DB"/>
    <w:rsid w:val="00AA1423"/>
    <w:rsid w:val="00AA2611"/>
    <w:rsid w:val="00AA50B2"/>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3E96"/>
    <w:rsid w:val="00AC57C5"/>
    <w:rsid w:val="00AC62DE"/>
    <w:rsid w:val="00AC6F01"/>
    <w:rsid w:val="00AD2C5D"/>
    <w:rsid w:val="00AD3F3C"/>
    <w:rsid w:val="00AD791F"/>
    <w:rsid w:val="00AD7E68"/>
    <w:rsid w:val="00AE0FE2"/>
    <w:rsid w:val="00AE1BF1"/>
    <w:rsid w:val="00AE1E0A"/>
    <w:rsid w:val="00AE2476"/>
    <w:rsid w:val="00AE2638"/>
    <w:rsid w:val="00AE3539"/>
    <w:rsid w:val="00AE3AC7"/>
    <w:rsid w:val="00AE4CBA"/>
    <w:rsid w:val="00AE5DED"/>
    <w:rsid w:val="00AF0DD2"/>
    <w:rsid w:val="00AF1692"/>
    <w:rsid w:val="00AF1AC2"/>
    <w:rsid w:val="00AF248F"/>
    <w:rsid w:val="00AF268C"/>
    <w:rsid w:val="00AF5B2D"/>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686"/>
    <w:rsid w:val="00B17A1D"/>
    <w:rsid w:val="00B207A0"/>
    <w:rsid w:val="00B20D8B"/>
    <w:rsid w:val="00B214A4"/>
    <w:rsid w:val="00B2238B"/>
    <w:rsid w:val="00B229D7"/>
    <w:rsid w:val="00B23394"/>
    <w:rsid w:val="00B2339B"/>
    <w:rsid w:val="00B234F1"/>
    <w:rsid w:val="00B2379E"/>
    <w:rsid w:val="00B244CE"/>
    <w:rsid w:val="00B24A59"/>
    <w:rsid w:val="00B25D38"/>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90554"/>
    <w:rsid w:val="00B93EB0"/>
    <w:rsid w:val="00B9418E"/>
    <w:rsid w:val="00B94991"/>
    <w:rsid w:val="00B94B5A"/>
    <w:rsid w:val="00B96036"/>
    <w:rsid w:val="00B96B75"/>
    <w:rsid w:val="00BA01FD"/>
    <w:rsid w:val="00BA11D1"/>
    <w:rsid w:val="00BA257E"/>
    <w:rsid w:val="00BA2B14"/>
    <w:rsid w:val="00BA4665"/>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34AE"/>
    <w:rsid w:val="00C3434B"/>
    <w:rsid w:val="00C36EF5"/>
    <w:rsid w:val="00C37C0B"/>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DDC"/>
    <w:rsid w:val="00CE6077"/>
    <w:rsid w:val="00CE641B"/>
    <w:rsid w:val="00CE783C"/>
    <w:rsid w:val="00CF32ED"/>
    <w:rsid w:val="00CF3C53"/>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6C11"/>
    <w:rsid w:val="00D1042A"/>
    <w:rsid w:val="00D1080A"/>
    <w:rsid w:val="00D13500"/>
    <w:rsid w:val="00D13C1B"/>
    <w:rsid w:val="00D153FB"/>
    <w:rsid w:val="00D1583E"/>
    <w:rsid w:val="00D17490"/>
    <w:rsid w:val="00D203E1"/>
    <w:rsid w:val="00D2143C"/>
    <w:rsid w:val="00D22D48"/>
    <w:rsid w:val="00D237E3"/>
    <w:rsid w:val="00D241E1"/>
    <w:rsid w:val="00D24E4C"/>
    <w:rsid w:val="00D263B5"/>
    <w:rsid w:val="00D265B4"/>
    <w:rsid w:val="00D26FD0"/>
    <w:rsid w:val="00D27198"/>
    <w:rsid w:val="00D272CC"/>
    <w:rsid w:val="00D30A51"/>
    <w:rsid w:val="00D32E48"/>
    <w:rsid w:val="00D349BD"/>
    <w:rsid w:val="00D34C61"/>
    <w:rsid w:val="00D35AA7"/>
    <w:rsid w:val="00D362F9"/>
    <w:rsid w:val="00D36376"/>
    <w:rsid w:val="00D36A85"/>
    <w:rsid w:val="00D37AFA"/>
    <w:rsid w:val="00D40D94"/>
    <w:rsid w:val="00D40DC3"/>
    <w:rsid w:val="00D437E4"/>
    <w:rsid w:val="00D462A2"/>
    <w:rsid w:val="00D46519"/>
    <w:rsid w:val="00D4715E"/>
    <w:rsid w:val="00D475AE"/>
    <w:rsid w:val="00D479B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155B"/>
    <w:rsid w:val="00D81627"/>
    <w:rsid w:val="00D82FAE"/>
    <w:rsid w:val="00D82FCF"/>
    <w:rsid w:val="00D83430"/>
    <w:rsid w:val="00D83618"/>
    <w:rsid w:val="00D859B9"/>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E3D"/>
    <w:rsid w:val="00DD2F22"/>
    <w:rsid w:val="00DD418B"/>
    <w:rsid w:val="00DD561E"/>
    <w:rsid w:val="00DD75DE"/>
    <w:rsid w:val="00DD78A7"/>
    <w:rsid w:val="00DD7BA9"/>
    <w:rsid w:val="00DE0F53"/>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6EC"/>
    <w:rsid w:val="00E25B8C"/>
    <w:rsid w:val="00E30618"/>
    <w:rsid w:val="00E33D47"/>
    <w:rsid w:val="00E365B0"/>
    <w:rsid w:val="00E368CB"/>
    <w:rsid w:val="00E370FD"/>
    <w:rsid w:val="00E412D2"/>
    <w:rsid w:val="00E41ABA"/>
    <w:rsid w:val="00E42CCD"/>
    <w:rsid w:val="00E43724"/>
    <w:rsid w:val="00E43FE1"/>
    <w:rsid w:val="00E44C0B"/>
    <w:rsid w:val="00E4674F"/>
    <w:rsid w:val="00E4734B"/>
    <w:rsid w:val="00E47BDA"/>
    <w:rsid w:val="00E50F05"/>
    <w:rsid w:val="00E51576"/>
    <w:rsid w:val="00E51620"/>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7A15"/>
    <w:rsid w:val="00E90791"/>
    <w:rsid w:val="00E914BA"/>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D40"/>
    <w:rsid w:val="00EB3199"/>
    <w:rsid w:val="00EB3615"/>
    <w:rsid w:val="00EB3A1C"/>
    <w:rsid w:val="00EB6361"/>
    <w:rsid w:val="00EB6BAD"/>
    <w:rsid w:val="00EC0053"/>
    <w:rsid w:val="00EC0A05"/>
    <w:rsid w:val="00EC0DA1"/>
    <w:rsid w:val="00EC2824"/>
    <w:rsid w:val="00EC2F4B"/>
    <w:rsid w:val="00EC3A55"/>
    <w:rsid w:val="00EC46E6"/>
    <w:rsid w:val="00ED0F3D"/>
    <w:rsid w:val="00ED1022"/>
    <w:rsid w:val="00ED33F4"/>
    <w:rsid w:val="00ED3E8E"/>
    <w:rsid w:val="00ED43EA"/>
    <w:rsid w:val="00ED5A64"/>
    <w:rsid w:val="00ED68B9"/>
    <w:rsid w:val="00EE04CB"/>
    <w:rsid w:val="00EE28CF"/>
    <w:rsid w:val="00EE28F3"/>
    <w:rsid w:val="00EE3330"/>
    <w:rsid w:val="00EE721F"/>
    <w:rsid w:val="00EF0EA8"/>
    <w:rsid w:val="00EF223E"/>
    <w:rsid w:val="00EF42BA"/>
    <w:rsid w:val="00EF45B5"/>
    <w:rsid w:val="00EF5110"/>
    <w:rsid w:val="00EF5148"/>
    <w:rsid w:val="00EF693F"/>
    <w:rsid w:val="00F00D04"/>
    <w:rsid w:val="00F00E7B"/>
    <w:rsid w:val="00F02787"/>
    <w:rsid w:val="00F035D1"/>
    <w:rsid w:val="00F05C79"/>
    <w:rsid w:val="00F05CE2"/>
    <w:rsid w:val="00F05DC5"/>
    <w:rsid w:val="00F073E4"/>
    <w:rsid w:val="00F103AC"/>
    <w:rsid w:val="00F1055C"/>
    <w:rsid w:val="00F13F51"/>
    <w:rsid w:val="00F15882"/>
    <w:rsid w:val="00F1626A"/>
    <w:rsid w:val="00F17698"/>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E0215"/>
    <w:rsid w:val="00FE0BE1"/>
    <w:rsid w:val="00FE17B5"/>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15:docId w15:val="{7B3C4E28-46B2-48F2-A75B-D7AA02A1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ergers@accc.gov.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accc.gov.au/public-registers/mergers-and-acquisitions-registers/acquisitions-register?init=1&amp;f%5B0%5D=acccgov_merger_matter_status%3Aunder_assessm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ccc.gov.au/about-us/publications/merger-process-guidelin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accc.gov.au/notification-of-proposed-acquisition-confidentiality-claims-templat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ergers@accc.gov.au"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[pick the date]</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3A3F34C6CF7D439C71A25B6DD8BD4B" ma:contentTypeVersion="12" ma:contentTypeDescription="Create a new document." ma:contentTypeScope="" ma:versionID="20ad86117b0ecb42dd6e14e3f2b25974">
  <xsd:schema xmlns:xsd="http://www.w3.org/2001/XMLSchema" xmlns:xs="http://www.w3.org/2001/XMLSchema" xmlns:p="http://schemas.microsoft.com/office/2006/metadata/properties" xmlns:ns2="28046d96-a28f-4bbc-ad90-d0e9bf35e1a8" xmlns:ns3="c246f20c-641d-4da4-82c4-be06dbc04e62" targetNamespace="http://schemas.microsoft.com/office/2006/metadata/properties" ma:root="true" ma:fieldsID="2141e6a11d300789e2a8eed9ec6c6366" ns2:_="" ns3:_="">
    <xsd:import namespace="28046d96-a28f-4bbc-ad90-d0e9bf35e1a8"/>
    <xsd:import namespace="c246f20c-641d-4da4-82c4-be06dbc04e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46d96-a28f-4bbc-ad90-d0e9bf35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46f20c-641d-4da4-82c4-be06dbc04e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A48DA7-5FAA-4DB8-89C9-FCACC3783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46d96-a28f-4bbc-ad90-d0e9bf35e1a8"/>
    <ds:schemaRef ds:uri="c246f20c-641d-4da4-82c4-be06dbc04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DF1EC8-72CE-446D-8870-26D10EE696A6}">
  <ds:schemaRefs>
    <ds:schemaRef ds:uri="http://schemas.microsoft.com/sharepoint/v3/contenttype/forms"/>
  </ds:schemaRefs>
</ds:datastoreItem>
</file>

<file path=customXml/itemProps4.xml><?xml version="1.0" encoding="utf-8"?>
<ds:datastoreItem xmlns:ds="http://schemas.openxmlformats.org/officeDocument/2006/customXml" ds:itemID="{4DA7D3D1-A6A7-427A-BA79-4F0EA5096ED7}">
  <ds:schemaRefs>
    <ds:schemaRef ds:uri="http://schemas.openxmlformats.org/officeDocument/2006/bibliography"/>
  </ds:schemaRefs>
</ds:datastoreItem>
</file>

<file path=customXml/itemProps5.xml><?xml version="1.0" encoding="utf-8"?>
<ds:datastoreItem xmlns:ds="http://schemas.openxmlformats.org/officeDocument/2006/customXml" ds:itemID="{5A3ABA2F-F47E-4F6D-B1C9-CE17E453C2B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677</Words>
  <Characters>3782</Characters>
  <Application>Microsoft Office Word</Application>
  <DocSecurity>0</DocSecurity>
  <Lines>111</Lines>
  <Paragraphs>57</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[subtitle]</dc:subject>
  <dc:creator>Briony Siviour</dc:creator>
  <cp:keywords/>
  <dc:description/>
  <cp:lastModifiedBy>Alan Xu</cp:lastModifiedBy>
  <cp:revision>11</cp:revision>
  <cp:lastPrinted>2022-05-27T10:23:00Z</cp:lastPrinted>
  <dcterms:created xsi:type="dcterms:W3CDTF">2026-03-10T00:03:00Z</dcterms:created>
  <dcterms:modified xsi:type="dcterms:W3CDTF">2026-05-14T23:34:00Z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2024-11-04T05:22:41Z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92c08358-8c4e-474d-9677-196dcb50cd45</vt:lpwstr>
  </property>
  <property fmtid="{D5CDD505-2E9C-101B-9397-08002B2CF9AE}" pid="8" name="MSIP_Label_d9d5a995-dfdf-4407-9a97-edbbc68c9f53_ContentBits">
    <vt:lpwstr>0</vt:lpwstr>
  </property>
</Properties>
</file>